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left"/>
      </w:pPr>
      <w:r>
        <w:drawing>
          <wp:inline xmlns:a="http://schemas.openxmlformats.org/drawingml/2006/main" xmlns:pic="http://schemas.openxmlformats.org/drawingml/2006/picture">
            <wp:extent cx="1532751" cy="93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rcoal-letterhe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2751" cy="93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40"/>
        <w:pBdr>
          <w:bottom w:val="single" w:sz="4" w:space="1" w:color="C9A96E"/>
        </w:pBdr>
      </w:pPr>
    </w:p>
    <w:p>
      <w:pPr>
        <w:spacing w:before="80" w:after="40"/>
      </w:pPr>
      <w:r>
        <w:rPr>
          <w:rFonts w:ascii="Calibri" w:hAnsi="Calibri"/>
          <w:b w:val="0"/>
          <w:i w:val="0"/>
          <w:color w:val="666666"/>
          <w:sz w:val="16"/>
        </w:rPr>
        <w:t>0401 061 246  |  lyda@lkdesignandbuild.com.au  |  www.lkdesignandbuild.com.au  |  PO Box 867 Prospect East SA 5082</w:t>
      </w:r>
    </w:p>
    <w:p>
      <w:pPr>
        <w:spacing w:after="120"/>
      </w:pPr>
    </w:p>
    <w:p>
      <w:pPr>
        <w:spacing w:after="80"/>
        <w:jc w:val="center"/>
      </w:pPr>
      <w:r>
        <w:rPr>
          <w:rFonts w:ascii="Calibri" w:hAnsi="Calibri"/>
          <w:b/>
          <w:i w:val="0"/>
          <w:color w:val="C9A96E"/>
          <w:sz w:val="40"/>
        </w:rPr>
        <w:t>QUOTATION</w:t>
      </w:r>
    </w:p>
    <w:p>
      <w:pPr>
        <w:spacing w:before="40" w:after="40"/>
        <w:pBdr>
          <w:bottom w:val="single" w:sz="4" w:space="1" w:color="C9A96E"/>
        </w:pBdr>
      </w:pP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703"/>
        <w:gridCol w:w="4703"/>
      </w:tblGrid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666666"/>
                <w:sz w:val="18"/>
              </w:rPr>
              <w:t>Quote Number: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[QTE-0001]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666666"/>
                <w:sz w:val="18"/>
              </w:rPr>
              <w:t>Date: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[Date]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666666"/>
                <w:sz w:val="18"/>
              </w:rPr>
              <w:t>Valid Until: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[Date + 30 days]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666666"/>
                <w:sz w:val="18"/>
              </w:rPr>
              <w:t>Project Address: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[Site Address]</w:t>
            </w:r>
          </w:p>
        </w:tc>
      </w:tr>
    </w:tbl>
    <w:p/>
    <w:p>
      <w:pPr>
        <w:spacing w:after="40"/>
      </w:pPr>
      <w:r>
        <w:rPr>
          <w:rFonts w:ascii="Calibri" w:hAnsi="Calibri"/>
          <w:b w:val="0"/>
          <w:i w:val="0"/>
          <w:color w:val="C9A96E"/>
          <w:sz w:val="18"/>
        </w:rPr>
        <w:t>PREPARED FOR</w:t>
      </w:r>
    </w:p>
    <w:p>
      <w:pPr>
        <w:spacing w:after="20"/>
      </w:pPr>
      <w:r>
        <w:rPr>
          <w:rFonts w:ascii="Calibri" w:hAnsi="Calibri"/>
          <w:b w:val="0"/>
          <w:i w:val="0"/>
          <w:color w:val="2C2C2C"/>
          <w:sz w:val="18"/>
        </w:rPr>
        <w:t>[Client Name]</w:t>
      </w:r>
    </w:p>
    <w:p>
      <w:pPr>
        <w:spacing w:after="20"/>
      </w:pPr>
      <w:r>
        <w:rPr>
          <w:rFonts w:ascii="Calibri" w:hAnsi="Calibri"/>
          <w:b w:val="0"/>
          <w:i w:val="0"/>
          <w:color w:val="2C2C2C"/>
          <w:sz w:val="18"/>
        </w:rPr>
        <w:t>[Client Address]</w:t>
      </w:r>
    </w:p>
    <w:p>
      <w:pPr>
        <w:spacing w:after="20"/>
      </w:pPr>
      <w:r>
        <w:rPr>
          <w:rFonts w:ascii="Calibri" w:hAnsi="Calibri"/>
          <w:b w:val="0"/>
          <w:i w:val="0"/>
          <w:color w:val="2C2C2C"/>
          <w:sz w:val="18"/>
        </w:rPr>
        <w:t>[Client Email]</w:t>
      </w:r>
    </w:p>
    <w:p>
      <w:pPr>
        <w:spacing w:after="20"/>
      </w:pPr>
      <w:r>
        <w:rPr>
          <w:rFonts w:ascii="Calibri" w:hAnsi="Calibri"/>
          <w:b w:val="0"/>
          <w:i w:val="0"/>
          <w:color w:val="2C2C2C"/>
          <w:sz w:val="18"/>
        </w:rPr>
        <w:t>[Client Phone]</w:t>
      </w:r>
    </w:p>
    <w:p/>
    <w:p>
      <w:pPr>
        <w:spacing w:after="120"/>
      </w:pPr>
      <w:r>
        <w:rPr>
          <w:rFonts w:ascii="Calibri" w:hAnsi="Calibri"/>
          <w:b w:val="0"/>
          <w:i w:val="0"/>
          <w:color w:val="C9A96E"/>
          <w:sz w:val="18"/>
        </w:rPr>
        <w:t>SCOPE OF WORKS</w:t>
      </w:r>
    </w:p>
    <w:p>
      <w:pPr>
        <w:spacing w:after="160"/>
      </w:pPr>
      <w:r>
        <w:rPr>
          <w:rFonts w:ascii="Calibri" w:hAnsi="Calibri"/>
          <w:b w:val="0"/>
          <w:i/>
          <w:color w:val="666666"/>
          <w:sz w:val="18"/>
        </w:rPr>
        <w:t>[Describe proposed works, demolition, structural, finishes, fixtures, allowances.]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single" w:sz="4" w:space="0" w:color="C9A96E"/>
          <w:bottom w:val="single" w:sz="4" w:space="0" w:color="C9A96E"/>
          <w:insideH w:val="single" w:sz="2" w:space="0" w:color="E8E8E8"/>
        </w:tblBorders>
      </w:tblPr>
      <w:tblGrid>
        <w:gridCol w:w="3135"/>
        <w:gridCol w:w="3135"/>
        <w:gridCol w:w="3135"/>
      </w:tblGrid>
      <w:tr>
        <w:tc>
          <w:tcPr>
            <w:tcW w:type="dxa" w:w="5669"/>
            <w:shd w:fill="2C2C2C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Description</w:t>
            </w:r>
          </w:p>
        </w:tc>
        <w:tc>
          <w:tcPr>
            <w:tcW w:type="dxa" w:w="1134"/>
            <w:shd w:fill="2C2C2C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Qty</w:t>
            </w:r>
          </w:p>
        </w:tc>
        <w:tc>
          <w:tcPr>
            <w:tcW w:type="dxa" w:w="2551"/>
            <w:shd w:fill="2C2C2C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Amount (ex GST)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[Demolition &amp; Site Preparation]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[Structural Works]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[Carpentry &amp; Framing]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[Electrical]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[Plumbing]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[Tiling &amp; Waterproofing]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[Joinery &amp; Cabinetry]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[Painting &amp; Finishes]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[Fixtures &amp; Fittings — Allowance]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[Project Management &amp; Supervision]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</w:tbl>
    <w:p/>
    <w:p>
      <w:pPr>
        <w:spacing w:after="40"/>
        <w:jc w:val="right"/>
      </w:pPr>
      <w:r>
        <w:rPr>
          <w:rFonts w:ascii="Calibri" w:hAnsi="Calibri"/>
          <w:b w:val="0"/>
          <w:i w:val="0"/>
          <w:color w:val="2C2C2C"/>
          <w:sz w:val="18"/>
        </w:rPr>
        <w:t xml:space="preserve">Subtotal (ex GST):  </w:t>
      </w:r>
      <w:r>
        <w:rPr>
          <w:rFonts w:ascii="Calibri" w:hAnsi="Calibri"/>
          <w:b w:val="0"/>
          <w:i w:val="0"/>
          <w:color w:val="2C2C2C"/>
          <w:sz w:val="18"/>
        </w:rPr>
        <w:t>$XX,XXX.XX</w:t>
      </w:r>
    </w:p>
    <w:p>
      <w:pPr>
        <w:spacing w:after="40"/>
        <w:jc w:val="right"/>
      </w:pPr>
      <w:r>
        <w:rPr>
          <w:rFonts w:ascii="Calibri" w:hAnsi="Calibri"/>
          <w:b w:val="0"/>
          <w:i w:val="0"/>
          <w:color w:val="2C2C2C"/>
          <w:sz w:val="18"/>
        </w:rPr>
        <w:t xml:space="preserve">GST (10%):  </w:t>
      </w:r>
      <w:r>
        <w:rPr>
          <w:rFonts w:ascii="Calibri" w:hAnsi="Calibri"/>
          <w:b w:val="0"/>
          <w:i w:val="0"/>
          <w:color w:val="2C2C2C"/>
          <w:sz w:val="18"/>
        </w:rPr>
        <w:t>$X,XXX.XX</w:t>
      </w:r>
    </w:p>
    <w:p>
      <w:pPr>
        <w:spacing w:after="40"/>
        <w:jc w:val="right"/>
      </w:pPr>
      <w:r>
        <w:rPr>
          <w:rFonts w:ascii="Calibri" w:hAnsi="Calibri"/>
          <w:b/>
          <w:i w:val="0"/>
          <w:color w:val="2C2C2C"/>
          <w:sz w:val="20"/>
        </w:rPr>
        <w:t xml:space="preserve">TOTAL (inc GST):  </w:t>
      </w:r>
      <w:r>
        <w:rPr>
          <w:rFonts w:ascii="Calibri" w:hAnsi="Calibri"/>
          <w:b/>
          <w:i w:val="0"/>
          <w:color w:val="C9A96E"/>
          <w:sz w:val="20"/>
        </w:rPr>
        <w:t>$XX,XXX.XX</w:t>
      </w:r>
    </w:p>
    <w:p>
      <w:pPr>
        <w:spacing w:before="40" w:after="40"/>
        <w:pBdr>
          <w:bottom w:val="single" w:sz="4" w:space="1" w:color="C9A96E"/>
        </w:pBdr>
      </w:pPr>
    </w:p>
    <w:p/>
    <w:p>
      <w:pPr>
        <w:spacing w:after="120"/>
      </w:pPr>
      <w:r>
        <w:rPr>
          <w:rFonts w:ascii="Calibri" w:hAnsi="Calibri"/>
          <w:b w:val="0"/>
          <w:i w:val="0"/>
          <w:color w:val="C9A96E"/>
          <w:sz w:val="18"/>
        </w:rPr>
        <w:t>TERMS &amp; CONDITIONS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1. This quotation is valid for 30 days from the date of issue.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2. A 10% deposit is required upon acceptance to secure scheduling.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3. Progress payments are due at agreed milestones as outlined in the building contract.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4. All works are carried out in accordance with the Building Code of Australia and relevant South Australian regulations.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5. Any variations to the scope of works will be documented and agreed in writing before commencement.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6. LK Design and Build holds comprehensive public liability and construction insurance.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7. Defects liability period: 12 months from practical completion.</w:t>
      </w:r>
    </w:p>
    <w:p/>
    <w:p>
      <w:pPr>
        <w:spacing w:after="120"/>
      </w:pPr>
      <w:r>
        <w:rPr>
          <w:rFonts w:ascii="Calibri" w:hAnsi="Calibri"/>
          <w:b w:val="0"/>
          <w:i w:val="0"/>
          <w:color w:val="C9A96E"/>
          <w:sz w:val="18"/>
        </w:rPr>
        <w:t>ACCEPTANCE</w:t>
      </w:r>
    </w:p>
    <w:p>
      <w:pPr>
        <w:spacing w:after="80"/>
      </w:pPr>
      <w:r>
        <w:rPr>
          <w:rFonts w:ascii="Calibri" w:hAnsi="Calibri"/>
          <w:b w:val="0"/>
          <w:i w:val="0"/>
          <w:color w:val="2C2C2C"/>
          <w:sz w:val="18"/>
        </w:rPr>
        <w:t>I/We accept this quotation and the terms and conditions outlined above.</w:t>
      </w:r>
    </w:p>
    <w:p/>
    <w:tbl>
      <w:tblPr>
        <w:tblW w:type="auto" w:w="0"/>
        <w:jc w:val="left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Client Signature:  ___________________________</w:t>
            </w:r>
          </w:p>
        </w:tc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Date:  ___________________________</w:t>
            </w:r>
          </w:p>
        </w:tc>
      </w:tr>
      <w:tr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Print Name:  ___________________________</w:t>
            </w:r>
          </w:p>
        </w:tc>
        <w:tc>
          <w:tcPr>
            <w:tcW w:type="dxa" w:w="4703"/>
          </w:tcPr>
          <w:p/>
        </w:tc>
      </w:tr>
    </w:tbl>
    <w:p>
      <w:pPr>
        <w:spacing w:before="40" w:after="40"/>
        <w:pBdr>
          <w:bottom w:val="single" w:sz="4" w:space="1" w:color="C9A96E"/>
        </w:pBdr>
      </w:pPr>
    </w:p>
    <w:p>
      <w:pPr>
        <w:spacing w:before="120"/>
        <w:jc w:val="center"/>
      </w:pPr>
      <w:r>
        <w:rPr>
          <w:rFonts w:ascii="Calibri" w:hAnsi="Calibri"/>
          <w:b w:val="0"/>
          <w:i/>
          <w:color w:val="666666"/>
          <w:sz w:val="15"/>
        </w:rPr>
        <w:t>LK Design and Build  |  ABN 17 697 207 391  |  Considered design. Precision build.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